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68"/>
        </w:rPr>
        <w:t>MONITOR</w:t>
        <w:br/>
      </w:r>
      <w:r>
        <w:rPr>
          <w:b/>
          <w:sz w:val="68"/>
        </w:rPr>
        <w:t>BESS</w:t>
        <w:br/>
      </w:r>
      <w:r>
        <w:rPr>
          <w:b/>
          <w:sz w:val="68"/>
        </w:rPr>
        <w:t>MÉXICO</w:t>
      </w:r>
    </w:p>
    <w:p>
      <w:pPr>
        <w:pStyle w:val="Subtitle"/>
      </w:pPr>
      <w:r>
        <w:t>Inteligencia semanal de NodeP para almacenamiento con baterías (BESS)</w:t>
      </w:r>
    </w:p>
    <w:p>
      <w:r>
        <w:rPr>
          <w:b/>
          <w:sz w:val="28"/>
        </w:rPr>
        <w:t>SEMANA 44  |  2026</w:t>
      </w:r>
    </w:p>
    <w:p>
      <w:r>
        <w:br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Esta semana en una frase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Líder: 01PLO-115, puntuación BESS 78/100. Spread 4h alcanzable: 578.8 MXN/MWh (31.4 USD/MWh @ 18.41 MXN/USD). Valor bruto anualizado 4h: 845.0 MXN/kW-year (45.9 USD/kW-year @ 18.41 MXN/USD). CDR 14% del valor 4h optimizado — congestión efecto menor sobre el spread. Decisión: AVANZAR A MODELO DETALLADO.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23393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or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339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21"/>
        </w:rPr>
        <w:t>Para desarrolladores, inversionistas y participantes del mercado que evalúan oportunidades BESS merchant e híbridas en México.</w:t>
      </w:r>
    </w:p>
    <w:p>
      <w:r>
        <w:rPr>
          <w:sz w:val="17"/>
        </w:rPr>
        <w:t>Jerarquía de fuentes: PML MDA/MTR CENACE, componentes PML, catálogo NodeP e información semanal de congestión.</w:t>
      </w:r>
    </w:p>
    <w:p>
      <w:r>
        <w:br w:type="page"/>
      </w:r>
    </w:p>
    <w:p>
      <w:pPr>
        <w:pStyle w:val="Title"/>
      </w:pPr>
      <w:r>
        <w:rPr>
          <w:b/>
        </w:rPr>
        <w:t>1. Resumen ejecutivo</w:t>
      </w:r>
    </w:p>
    <w:p>
      <w:pPr>
        <w:pStyle w:val="Subtitle"/>
      </w:pPr>
      <w:r>
        <w:t>Qué cambió esta semana y por qué importa para almacenamiento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Hallazgo principal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El spread alcanzable y la congestión en 01PLO-115 refuerzan el caso BESS frente al resto de la selección.</w:t>
            </w:r>
          </w:p>
        </w:tc>
      </w:tr>
    </w:tbl>
    <w:p/>
    <w:p>
      <w:pPr>
        <w:pStyle w:val="Heading2"/>
      </w:pPr>
      <w:r>
        <w:t>Cuadro de mando de cuatro nodos</w:t>
      </w:r>
    </w:p>
    <w:tbl>
      <w:tblPr>
        <w:tblStyle w:val="TableGrid"/>
        <w:tblW w:type="dxa" w:w="10514"/>
        <w:jc w:val="center"/>
        <w:tblLook w:firstColumn="1" w:firstRow="1" w:lastColumn="0" w:lastRow="0" w:noHBand="0" w:noVBand="1" w:val="04A0"/>
        <w:tblLayout w:type="fixed"/>
      </w:tblPr>
      <w:tblGrid>
        <w:gridCol w:w="2400"/>
        <w:gridCol w:w="1900"/>
        <w:gridCol w:w="1250"/>
        <w:gridCol w:w="1150"/>
        <w:gridCol w:w="1150"/>
        <w:gridCol w:w="1550"/>
        <w:gridCol w:w="1114"/>
      </w:tblGrid>
      <w:tr>
        <w:tc>
          <w:tcPr>
            <w:tcW w:type="dxa" w:w="2400"/>
            <w:shd w:fill="E9EEF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sz w:val="16"/>
              </w:rPr>
              <w:t>Nodo</w:t>
            </w:r>
          </w:p>
        </w:tc>
        <w:tc>
          <w:tcPr>
            <w:tcW w:type="dxa" w:w="1900"/>
            <w:shd w:fill="E9EEF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sz w:val="16"/>
              </w:rPr>
              <w:t>Motivo</w:t>
            </w:r>
          </w:p>
        </w:tc>
        <w:tc>
          <w:tcPr>
            <w:tcW w:type="dxa" w:w="1250"/>
            <w:shd w:fill="E9EEF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sz w:val="16"/>
              </w:rPr>
              <w:t>PML 30d</w:t>
            </w:r>
          </w:p>
        </w:tc>
        <w:tc>
          <w:tcPr>
            <w:tcW w:type="dxa" w:w="1150"/>
            <w:shd w:fill="E9EEF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sz w:val="16"/>
              </w:rPr>
              <w:t>Spread 4h</w:t>
            </w:r>
          </w:p>
        </w:tc>
        <w:tc>
          <w:tcPr>
            <w:tcW w:type="dxa" w:w="1150"/>
            <w:shd w:fill="E9EEF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sz w:val="16"/>
              </w:rPr>
              <w:t>Spread 6h</w:t>
            </w:r>
          </w:p>
        </w:tc>
        <w:tc>
          <w:tcPr>
            <w:tcW w:type="dxa" w:w="1550"/>
            <w:shd w:fill="E9EEF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sz w:val="16"/>
              </w:rPr>
              <w:t>Congestión</w:t>
            </w:r>
          </w:p>
        </w:tc>
        <w:tc>
          <w:tcPr>
            <w:tcW w:type="dxa" w:w="1114"/>
            <w:shd w:fill="E9EEF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b/>
                <w:sz w:val="16"/>
              </w:rPr>
              <w:t>Puntos</w:t>
            </w:r>
          </w:p>
        </w:tc>
      </w:tr>
      <w:tr>
        <w:tc>
          <w:tcPr>
            <w:tcW w:type="dxa" w:w="24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01PLO-115</w:t>
            </w:r>
          </w:p>
          <w:p>
            <w:pPr>
              <w:spacing w:before="0" w:after="0"/>
              <w:jc w:val="left"/>
            </w:pPr>
            <w:r>
              <w:rPr>
                <w:sz w:val="16"/>
              </w:rPr>
              <w:t>Nodo 01PLO-115</w:t>
            </w:r>
          </w:p>
        </w:tc>
        <w:tc>
          <w:tcPr>
            <w:tcW w:type="dxa" w:w="19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Mayor oportunidad BESS</w:t>
            </w:r>
          </w:p>
        </w:tc>
        <w:tc>
          <w:tcPr>
            <w:tcW w:type="dxa" w:w="12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79.9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31.4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n/d</w:t>
            </w:r>
          </w:p>
        </w:tc>
        <w:tc>
          <w:tcPr>
            <w:tcW w:type="dxa" w:w="15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episódica</w:t>
            </w:r>
          </w:p>
          <w:p>
            <w:pPr>
              <w:spacing w:before="0" w:after="0"/>
              <w:jc w:val="center"/>
            </w:pPr>
            <w:r>
              <w:rPr>
                <w:sz w:val="16"/>
              </w:rPr>
              <w:t>330 h</w:t>
            </w:r>
          </w:p>
        </w:tc>
        <w:tc>
          <w:tcPr>
            <w:tcW w:type="dxa" w:w="111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78</w:t>
            </w:r>
          </w:p>
        </w:tc>
      </w:tr>
      <w:tr>
        <w:tc>
          <w:tcPr>
            <w:tcW w:type="dxa" w:w="24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03CLN-230</w:t>
            </w:r>
          </w:p>
          <w:p>
            <w:pPr>
              <w:spacing w:before="0" w:after="0"/>
              <w:jc w:val="left"/>
            </w:pPr>
            <w:r>
              <w:rPr>
                <w:sz w:val="16"/>
              </w:rPr>
              <w:t>Colotlán</w:t>
            </w:r>
          </w:p>
        </w:tc>
        <w:tc>
          <w:tcPr>
            <w:tcW w:type="dxa" w:w="19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Foco de congestión</w:t>
            </w:r>
          </w:p>
        </w:tc>
        <w:tc>
          <w:tcPr>
            <w:tcW w:type="dxa" w:w="12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59.1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23.9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n/d</w:t>
            </w:r>
          </w:p>
        </w:tc>
        <w:tc>
          <w:tcPr>
            <w:tcW w:type="dxa" w:w="15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episódica</w:t>
            </w:r>
          </w:p>
          <w:p>
            <w:pPr>
              <w:spacing w:before="0" w:after="0"/>
              <w:jc w:val="center"/>
            </w:pPr>
            <w:r>
              <w:rPr>
                <w:sz w:val="16"/>
              </w:rPr>
              <w:t>291 h</w:t>
            </w:r>
          </w:p>
        </w:tc>
        <w:tc>
          <w:tcPr>
            <w:tcW w:type="dxa" w:w="111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78</w:t>
            </w:r>
          </w:p>
        </w:tc>
      </w:tr>
      <w:tr>
        <w:tc>
          <w:tcPr>
            <w:tcW w:type="dxa" w:w="24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04AHO-115</w:t>
            </w:r>
          </w:p>
          <w:p>
            <w:pPr>
              <w:spacing w:before="0" w:after="0"/>
              <w:jc w:val="left"/>
            </w:pPr>
            <w:r>
              <w:rPr>
                <w:sz w:val="16"/>
              </w:rPr>
              <w:t>Nodo 04AHO-115</w:t>
            </w:r>
          </w:p>
        </w:tc>
        <w:tc>
          <w:tcPr>
            <w:tcW w:type="dxa" w:w="19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Mayor momentum de spread</w:t>
            </w:r>
          </w:p>
        </w:tc>
        <w:tc>
          <w:tcPr>
            <w:tcW w:type="dxa" w:w="12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29.3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24.3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n/d</w:t>
            </w:r>
          </w:p>
        </w:tc>
        <w:tc>
          <w:tcPr>
            <w:tcW w:type="dxa" w:w="15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episódica</w:t>
            </w:r>
          </w:p>
          <w:p>
            <w:pPr>
              <w:spacing w:before="0" w:after="0"/>
              <w:jc w:val="center"/>
            </w:pPr>
            <w:r>
              <w:rPr>
                <w:sz w:val="16"/>
              </w:rPr>
              <w:t>473 h</w:t>
            </w:r>
          </w:p>
        </w:tc>
        <w:tc>
          <w:tcPr>
            <w:tcW w:type="dxa" w:w="111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78</w:t>
            </w:r>
          </w:p>
        </w:tc>
      </w:tr>
      <w:tr>
        <w:tc>
          <w:tcPr>
            <w:tcW w:type="dxa" w:w="24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06GDL-115</w:t>
            </w:r>
          </w:p>
          <w:p>
            <w:pPr>
              <w:spacing w:before="0" w:after="0"/>
              <w:jc w:val="left"/>
            </w:pPr>
            <w:r>
              <w:rPr>
                <w:sz w:val="16"/>
              </w:rPr>
              <w:t>Nodo 06GDL-115</w:t>
            </w:r>
          </w:p>
        </w:tc>
        <w:tc>
          <w:tcPr>
            <w:tcW w:type="dxa" w:w="190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left"/>
            </w:pPr>
            <w:r>
              <w:rPr>
                <w:sz w:val="16"/>
              </w:rPr>
              <w:t>Rotación de seguimiento</w:t>
            </w:r>
          </w:p>
        </w:tc>
        <w:tc>
          <w:tcPr>
            <w:tcW w:type="dxa" w:w="12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50.6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24.0</w:t>
            </w:r>
          </w:p>
        </w:tc>
        <w:tc>
          <w:tcPr>
            <w:tcW w:type="dxa" w:w="11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n/d</w:t>
            </w:r>
          </w:p>
        </w:tc>
        <w:tc>
          <w:tcPr>
            <w:tcW w:type="dxa" w:w="155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episódica</w:t>
            </w:r>
          </w:p>
          <w:p>
            <w:pPr>
              <w:spacing w:before="0" w:after="0"/>
              <w:jc w:val="center"/>
            </w:pPr>
            <w:r>
              <w:rPr>
                <w:sz w:val="16"/>
              </w:rPr>
              <w:t>238 h</w:t>
            </w:r>
          </w:p>
        </w:tc>
        <w:tc>
          <w:tcPr>
            <w:tcW w:type="dxa" w:w="111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/>
              <w:jc w:val="center"/>
            </w:pPr>
            <w:r>
              <w:rPr>
                <w:sz w:val="16"/>
              </w:rPr>
              <w:t>75</w:t>
            </w:r>
          </w:p>
        </w:tc>
      </w:tr>
    </w:tbl>
    <w:p>
      <w:r>
        <w:t>Cifras validadas a partir de series CENACE para la semana de corte indicada.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9360" cy="257998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e_spread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5799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Qué mirar primero</w:t>
      </w:r>
    </w:p>
    <w:p>
      <w:pPr>
        <w:pStyle w:val="ListBullet"/>
      </w:pPr>
      <w:r>
        <w:rPr>
          <w:b/>
        </w:rPr>
        <w:t>Persistencia antes que magnitud: picos aislados valen menos que ventanas repetibles de carga/descarga.</w:t>
      </w:r>
    </w:p>
    <w:p>
      <w:pPr>
        <w:pStyle w:val="ListBullet"/>
      </w:pPr>
      <w:r>
        <w:rPr>
          <w:b/>
        </w:rPr>
        <w:t>Saturación de duración: compare el valor incremental de 2h→4h→6h→8h en lugar de asumir que más horas siempre mejoran el caso.</w:t>
      </w:r>
    </w:p>
    <w:p>
      <w:pPr>
        <w:pStyle w:val="ListBullet"/>
      </w:pPr>
      <w:r>
        <w:rPr>
          <w:b/>
        </w:rPr>
        <w:t>Calidad de congestión: separe congestión estructural de eventos operativos aislados.</w:t>
      </w:r>
    </w:p>
    <w:p>
      <w:r>
        <w:br w:type="page"/>
      </w:r>
    </w:p>
    <w:p>
      <w:pPr>
        <w:pStyle w:val="Title"/>
      </w:pPr>
      <w:r>
        <w:rPr>
          <w:b/>
        </w:rPr>
        <w:t>2. Panorama semanal de mercado</w:t>
      </w:r>
    </w:p>
    <w:p>
      <w:pPr>
        <w:pStyle w:val="Subtitle"/>
      </w:pPr>
      <w:r>
        <w:t>Marco analítico común para los cuatro nodos</w:t>
      </w:r>
    </w:p>
    <w:p>
      <w:pPr>
        <w:pStyle w:val="Heading2"/>
      </w:pPr>
      <w:r>
        <w:t>Métricas núcleo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fill="E9EEF2"/>
          </w:tcPr>
          <w:p>
            <w:r>
              <w:rPr>
                <w:b/>
              </w:rPr>
              <w:t>Métrica</w:t>
            </w:r>
          </w:p>
        </w:tc>
        <w:tc>
          <w:tcPr>
            <w:tcW w:type="dxa" w:w="3504"/>
            <w:shd w:fill="E9EEF2"/>
          </w:tcPr>
          <w:p>
            <w:r>
              <w:rPr>
                <w:b/>
              </w:rPr>
              <w:t>Por qué importa</w:t>
            </w:r>
          </w:p>
        </w:tc>
        <w:tc>
          <w:tcPr>
            <w:tcW w:type="dxa" w:w="3504"/>
            <w:shd w:fill="E9EEF2"/>
          </w:tcPr>
          <w:p>
            <w:r>
              <w:rPr>
                <w:b/>
              </w:rPr>
              <w:t>Ventana</w:t>
            </w:r>
          </w:p>
        </w:tc>
      </w:tr>
      <w:tr>
        <w:tc>
          <w:tcPr>
            <w:tcW w:type="dxa" w:w="3504"/>
          </w:tcPr>
          <w:p>
            <w:r>
              <w:t>PML MDA / MTR</w:t>
            </w:r>
          </w:p>
        </w:tc>
        <w:tc>
          <w:tcPr>
            <w:tcW w:type="dxa" w:w="3504"/>
          </w:tcPr>
          <w:p>
            <w:r>
              <w:t>Nivel de precio y divergencia entre MDA y tiempo real</w:t>
            </w:r>
          </w:p>
        </w:tc>
        <w:tc>
          <w:tcPr>
            <w:tcW w:type="dxa" w:w="3504"/>
          </w:tcPr>
          <w:p>
            <w:r>
              <w:t>7, 30, 90 y 365 días</w:t>
            </w:r>
          </w:p>
        </w:tc>
      </w:tr>
      <w:tr>
        <w:tc>
          <w:tcPr>
            <w:tcW w:type="dxa" w:w="3504"/>
          </w:tcPr>
          <w:p>
            <w:r>
              <w:t>Spread intradía</w:t>
            </w:r>
          </w:p>
        </w:tc>
        <w:tc>
          <w:tcPr>
            <w:tcW w:type="dxa" w:w="3504"/>
          </w:tcPr>
          <w:p>
            <w:r>
              <w:t>Primer cribado del valor de mover energía</w:t>
            </w:r>
          </w:p>
        </w:tc>
        <w:tc>
          <w:tcPr>
            <w:tcW w:type="dxa" w:w="3504"/>
          </w:tcPr>
          <w:p>
            <w:r>
              <w:t>1h a 8h</w:t>
            </w:r>
          </w:p>
        </w:tc>
      </w:tr>
      <w:tr>
        <w:tc>
          <w:tcPr>
            <w:tcW w:type="dxa" w:w="3504"/>
          </w:tcPr>
          <w:p>
            <w:r>
              <w:t>Spread con RTE</w:t>
            </w:r>
          </w:p>
        </w:tc>
        <w:tc>
          <w:tcPr>
            <w:tcW w:type="dxa" w:w="3504"/>
          </w:tcPr>
          <w:p>
            <w:r>
              <w:t>Descarta spreads que desaparecen al restar pérdidas</w:t>
            </w:r>
          </w:p>
        </w:tc>
        <w:tc>
          <w:tcPr>
            <w:tcW w:type="dxa" w:w="3504"/>
          </w:tcPr>
          <w:p>
            <w:r>
              <w:t>mismas duraciones</w:t>
            </w:r>
          </w:p>
        </w:tc>
      </w:tr>
      <w:tr>
        <w:tc>
          <w:tcPr>
            <w:tcW w:type="dxa" w:w="3504"/>
          </w:tcPr>
          <w:p>
            <w:r>
              <w:t>Componente de congestión</w:t>
            </w:r>
          </w:p>
        </w:tc>
        <w:tc>
          <w:tcPr>
            <w:tcW w:type="dxa" w:w="3504"/>
          </w:tcPr>
          <w:p>
            <w:r>
              <w:t>Comprueba si la red local sostiene valor de almacenamiento</w:t>
            </w:r>
          </w:p>
        </w:tc>
        <w:tc>
          <w:tcPr>
            <w:tcW w:type="dxa" w:w="3504"/>
          </w:tcPr>
          <w:p>
            <w:r>
              <w:t>semana y tendencia de 90 días</w:t>
            </w:r>
          </w:p>
        </w:tc>
      </w:tr>
      <w:tr>
        <w:tc>
          <w:tcPr>
            <w:tcW w:type="dxa" w:w="3504"/>
          </w:tcPr>
          <w:p>
            <w:r>
              <w:t>Valor de despacho</w:t>
            </w:r>
          </w:p>
        </w:tc>
        <w:tc>
          <w:tcPr>
            <w:tcW w:type="dxa" w:w="3504"/>
          </w:tcPr>
          <w:p>
            <w:r>
              <w:t>Convierte la forma del precio en ingreso teórico del BESS</w:t>
            </w:r>
          </w:p>
        </w:tc>
        <w:tc>
          <w:tcPr>
            <w:tcW w:type="dxa" w:w="3504"/>
          </w:tcPr>
          <w:p>
            <w:r>
              <w:t>365 días móviles</w:t>
            </w:r>
          </w:p>
        </w:tc>
      </w:tr>
    </w:tbl>
    <w:p>
      <w:pPr>
        <w:pStyle w:val="Heading2"/>
      </w:pPr>
      <w:r>
        <w:t>Gráficas estándar por nodo</w:t>
      </w:r>
    </w:p>
    <w:p>
      <w:pPr>
        <w:pStyle w:val="ListBullet"/>
      </w:pPr>
      <w:r>
        <w:t>Gráfica A — Evolución PML: MDA vs MTR.</w:t>
      </w:r>
    </w:p>
    <w:p>
      <w:pPr>
        <w:pStyle w:val="ListBullet"/>
      </w:pPr>
      <w:r>
        <w:t>Gráfica B — Forma horaria promedio del PML: ventanas recurrentes de carga y descarga.</w:t>
      </w:r>
    </w:p>
    <w:p>
      <w:pPr>
        <w:pStyle w:val="ListBullet"/>
      </w:pPr>
      <w:r>
        <w:t>Gráfica C — Prueba de duración BESS: spread alcanzable promedio para 1h–8h.</w:t>
      </w:r>
    </w:p>
    <w:p>
      <w:pPr>
        <w:pStyle w:val="ListBullet"/>
      </w:pPr>
      <w:r>
        <w:t>Gráfica D — Contribución / persistencia de congestión.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Regla analítica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El informe no clasifica un nodo solo por el spread bruto. Una puntuación alta exige persistencia, calidad de datos, lectura de congestión y un despacho que se sostenga después del rendimiento de ida y vuelta (RTE) y de las restricciones operativas.</w:t>
            </w:r>
          </w:p>
        </w:tc>
      </w:tr>
    </w:tbl>
    <w:p/>
    <w:p>
      <w:r>
        <w:br w:type="page"/>
      </w:r>
    </w:p>
    <w:p>
      <w:pPr>
        <w:pStyle w:val="Title"/>
      </w:pPr>
      <w:r>
        <w:rPr>
          <w:b/>
        </w:rPr>
        <w:t>3. Nodo A</w:t>
      </w:r>
    </w:p>
    <w:p>
      <w:pPr>
        <w:pStyle w:val="Subtitle"/>
      </w:pPr>
      <w:r>
        <w:t>Nodo 01PLO-115 · SIN (aleatorio) · SIN 115 kV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PML prom. (30d)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4h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6h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Horas congestión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Puntos</w:t>
            </w:r>
          </w:p>
        </w:tc>
      </w:tr>
      <w:tr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79.9 USD/MWh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31.4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n/d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330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78/100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Por qué se seleccionó este nodo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Mayor oportunidad BESS.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Ubicación: Nodo 01PLO-115 · SIN (aleatorio) · SIN 115 kV.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42319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A_pric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4231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4443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A_hourl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44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A_aci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A_cong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Interpretación del agente</w:t>
      </w:r>
    </w:p>
    <w:p>
      <w:r>
        <w:t>El nodo 01PLO-115 (Nodo 01PLO-115, SIN (aleatorio)) muestra un PML medio de 79.9 USD/MWh en la ventana 30d y un spread MDA alcanzable 4h de 578.8 MXN/MWh (31.4 USD/MWh @ 18.41 MXN/USD) (6h: n/d USD/MWh). Valor bruto anualizado 4h (1 ciclo/día): 845.0 MXN/kW-year (45.9 USD/kW-year @ 18.41 MXN/USD). La congestión se clasifica como episódica con lectura BESS frágil; Horas CC materiales — 21d (≥30 MXN/MWh): 330 h (umbral 30 MXN/MWh). Régimen nodal ESTRUCTURAL; contribución BESS por congestión (CDR): 14% (Baja). Spread 40/40 · Persistencia 14/20 · Calidad congestión 15/15 · Predictibilidad 0/10 · Datos 8/10 = 78/100 Confianza de datos: 85/100. Decisión de cribado: AVANZAR A MODELO DETALLADO. Duración óptima en cribado: 4h. No sustituye un modelo de proyecto ni atribuye líneas de transmisión sin restricciones vinculantes CENACE.</w:t>
      </w:r>
    </w:p>
    <w:p>
      <w:pPr>
        <w:pStyle w:val="Heading2"/>
      </w:pPr>
      <w:r>
        <w:t>Conclusión BESS</w:t>
      </w:r>
    </w:p>
    <w:p>
      <w:r>
        <w:t>Decisión: AVANZAR A MODELO DETALLADO. Economía: spread 4h 578.8 MXN/MWh (31.4 USD/MWh @ 18.41 MXN/USD), confianza 85/100, CDR 14% del spread 4h — congestión efecto menor sobre el spread. Congestión episódica con contribución BESS Baja.</w:t>
      </w:r>
    </w:p>
    <w:p>
      <w:r>
        <w:br w:type="page"/>
      </w:r>
    </w:p>
    <w:p>
      <w:pPr>
        <w:pStyle w:val="Title"/>
      </w:pPr>
      <w:r>
        <w:rPr>
          <w:b/>
        </w:rPr>
        <w:t>4. Nodo B</w:t>
      </w:r>
    </w:p>
    <w:p>
      <w:pPr>
        <w:pStyle w:val="Subtitle"/>
      </w:pPr>
      <w:r>
        <w:t>Colotlán · Noroeste · SIN 230 kV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PML prom. (30d)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4h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6h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Horas congestión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Puntos</w:t>
            </w:r>
          </w:p>
        </w:tc>
      </w:tr>
      <w:tr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59.1 USD/MWh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23.9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n/d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291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78/100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Por qué se seleccionó este nodo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Foco de congestión.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Ubicación: Colotlán · Noroeste · SIN 230 kV.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42319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B_pric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4231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4443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B_hourl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44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B_aci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B_con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Interpretación del agente</w:t>
      </w:r>
    </w:p>
    <w:p>
      <w:r>
        <w:t>El nodo 03CLN-230 (Colotlán, Noroeste) muestra un PML medio de 59.1 USD/MWh en la ventana 30d y un spread MDA alcanzable 4h de 439.2 MXN/MWh (23.9 USD/MWh @ 18.41 MXN/USD) (6h: n/d USD/MWh). Valor bruto anualizado 4h (1 ciclo/día): 641.2 MXN/kW-year (34.8 USD/kW-year @ 18.41 MXN/USD). La congestión se clasifica como episódica con lectura BESS frágil; Horas CC materiales — 21d (≥30 MXN/MWh): 291 h (umbral 30 MXN/MWh). Régimen nodal EMERGENTE; contribución BESS por congestión (CDR): 8% (Baja). Spread 40/40 · Persistencia 14/20 · Calidad congestión 15/15 · Predictibilidad 0/10 · Datos 8/10 = 78/100 Confianza de datos: 85/100. Decisión de cribado: AVANZAR A MODELO DETALLADO. Duración óptima en cribado: 4h. No sustituye un modelo de proyecto ni atribuye líneas de transmisión sin restricciones vinculantes CENACE.</w:t>
      </w:r>
    </w:p>
    <w:p>
      <w:pPr>
        <w:pStyle w:val="Heading2"/>
      </w:pPr>
      <w:r>
        <w:t>Conclusión BESS</w:t>
      </w:r>
    </w:p>
    <w:p>
      <w:r>
        <w:t>Decisión: AVANZAR A MODELO DETALLADO. Economía: spread 4h 439.2 MXN/MWh (23.9 USD/MWh @ 18.41 MXN/USD), confianza 85/100, CDR 8% del spread 4h — congestión efecto menor sobre el spread. Congestión episódica con contribución BESS Baja.</w:t>
      </w:r>
    </w:p>
    <w:p>
      <w:r>
        <w:br w:type="page"/>
      </w:r>
    </w:p>
    <w:p>
      <w:pPr>
        <w:pStyle w:val="Title"/>
      </w:pPr>
      <w:r>
        <w:rPr>
          <w:b/>
        </w:rPr>
        <w:t>5. Nodo C</w:t>
      </w:r>
    </w:p>
    <w:p>
      <w:pPr>
        <w:pStyle w:val="Subtitle"/>
      </w:pPr>
      <w:r>
        <w:t>Nodo 04AHO-115 · SIN (aleatorio) · SIN 115 kV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PML prom. (30d)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4h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6h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Horas congestión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Puntos</w:t>
            </w:r>
          </w:p>
        </w:tc>
      </w:tr>
      <w:tr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29.3 USD/MWh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24.3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n/d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473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78/100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Por qué se seleccionó este nodo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Mayor momentum de spread.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Ubicación: Nodo 04AHO-115 · SIN (aleatorio) · SIN 115 kV.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42319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C_pric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4231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4443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C_hourly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44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C_acid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C_cong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Interpretación del agente</w:t>
      </w:r>
    </w:p>
    <w:p>
      <w:r>
        <w:t>El nodo 04AHO-115 (Nodo 04AHO-115, SIN (aleatorio)) muestra un PML medio de 29.3 USD/MWh en la ventana 30d y un spread MDA alcanzable 4h de 447.4 MXN/MWh (24.3 USD/MWh @ 18.41 MXN/USD) (6h: n/d USD/MWh). Valor bruto anualizado 4h (1 ciclo/día): 653.2 MXN/kW-year (35.5 USD/kW-year @ 18.41 MXN/USD). La congestión se clasifica como episódica con lectura BESS frágil; Horas CC materiales — 21d (≥30 MXN/MWh): 473 h (umbral 30 MXN/MWh). Régimen nodal EMERGENTE; contribución BESS por congestión (CDR): -18% (Baja). Spread 40/40 · Persistencia 14/20 · Calidad congestión 15/15 · Predictibilidad 0/10 · Datos 8/10 = 78/100 Confianza de datos: 85/100. Decisión de cribado: AVANZAR A MODELO DETALLADO. Duración óptima en cribado: 4h. No sustituye un modelo de proyecto ni atribuye líneas de transmisión sin restricciones vinculantes CENACE.</w:t>
      </w:r>
    </w:p>
    <w:p>
      <w:pPr>
        <w:pStyle w:val="Heading2"/>
      </w:pPr>
      <w:r>
        <w:t>Conclusión BESS</w:t>
      </w:r>
    </w:p>
    <w:p>
      <w:r>
        <w:t>Decisión: AVANZAR A MODELO DETALLADO. Economía: spread 4h 447.4 MXN/MWh (24.3 USD/MWh @ 18.41 MXN/USD), confianza 85/100, CDR -18% del spread 4h — congestión efecto menor sobre el spread. Congestión episódica con contribución BESS Baja.</w:t>
      </w:r>
    </w:p>
    <w:p>
      <w:r>
        <w:br w:type="page"/>
      </w:r>
    </w:p>
    <w:p>
      <w:pPr>
        <w:pStyle w:val="Title"/>
      </w:pPr>
      <w:r>
        <w:rPr>
          <w:b/>
        </w:rPr>
        <w:t>6. Nodo D</w:t>
      </w:r>
    </w:p>
    <w:p>
      <w:pPr>
        <w:pStyle w:val="Subtitle"/>
      </w:pPr>
      <w:r>
        <w:t>Nodo 06GDL-115 · SIN (aleatorio) · SIN 115 kV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PML prom. (30d)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4h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Spread 6h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Horas congestión</w:t>
            </w:r>
          </w:p>
        </w:tc>
        <w:tc>
          <w:tcPr>
            <w:tcW w:type="dxa" w:w="2102"/>
            <w:shd w:fill="E9EEF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b/>
                <w:sz w:val="16"/>
              </w:rPr>
              <w:t>Puntos</w:t>
            </w:r>
          </w:p>
        </w:tc>
      </w:tr>
      <w:tr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50.6 USD/MWh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24.0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n/d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238</w:t>
            </w:r>
          </w:p>
        </w:tc>
        <w:tc>
          <w:tcPr>
            <w:tcW w:type="dxa" w:w="2102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rPr>
                <w:sz w:val="16"/>
              </w:rPr>
              <w:t>75/100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Por qué se seleccionó este nodo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Rotación de seguimiento.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Ubicación: Nodo 06GDL-115 · SIN (aleatorio) · SIN 115 kV.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42319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D_pric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4231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44436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D_hourly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44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D_acid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72200" cy="223947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 D_cong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239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Interpretación del agente</w:t>
      </w:r>
    </w:p>
    <w:p>
      <w:r>
        <w:t>El nodo 06GDL-115 (Nodo 06GDL-115, SIN (aleatorio)) muestra un PML medio de 50.6 USD/MWh en la ventana 30d y un spread MDA alcanzable 4h de 442.3 MXN/MWh (24.0 USD/MWh @ 18.41 MXN/USD) (6h: n/d USD/MWh). Valor bruto anualizado 4h (1 ciclo/día): 645.7 MXN/kW-year (35.1 USD/kW-year @ 18.41 MXN/USD). La congestión se clasifica como episódica con lectura BESS frágil; Horas CC materiales — 21d (≥30 MXN/MWh): 238 h (umbral 30 MXN/MWh). Régimen nodal ESTRUCTURAL; contribución BESS por congestión (CDR): 1% (Baja). Spread 40/40 · Persistencia 14/20 · Calidad congestión 12/15 · Predictibilidad 0/10 · Datos 8/10 = 75/100 Confianza de datos: 85/100. Decisión de cribado: AVANZAR A MODELO DETALLADO. Duración óptima en cribado: 4h. No sustituye un modelo de proyecto ni atribuye líneas de transmisión sin restricciones vinculantes CENACE.</w:t>
      </w:r>
    </w:p>
    <w:p>
      <w:pPr>
        <w:pStyle w:val="Heading2"/>
      </w:pPr>
      <w:r>
        <w:t>Conclusión BESS</w:t>
      </w:r>
    </w:p>
    <w:p>
      <w:r>
        <w:t>Decisión: AVANZAR A MODELO DETALLADO. Economía: spread 4h 442.3 MXN/MWh (24.0 USD/MWh @ 18.41 MXN/USD), confianza 85/100, CDR 1% del spread 4h — congestión efecto menor sobre el spread. Congestión episódica con contribución BESS Baja.</w:t>
      </w:r>
    </w:p>
    <w:p>
      <w:r>
        <w:br w:type="page"/>
      </w:r>
    </w:p>
    <w:p>
      <w:r>
        <w:br w:type="page"/>
      </w:r>
    </w:p>
    <w:p>
      <w:pPr>
        <w:spacing w:after="0" w:before="0"/>
        <w:jc w:val="left"/>
      </w:pPr>
      <w:r>
        <w:rPr>
          <w:b/>
          <w:sz w:val="36"/>
        </w:rPr>
        <w:t>7. 01PLO-115 — Diagnóstico de congestión nodal</w:t>
        <w:br/>
      </w:r>
      <w:r>
        <w:rPr>
          <w:b/>
          <w:sz w:val="36"/>
        </w:rPr>
        <w:t>Nodo 01PLO-115 · SIN (aleatorio) · SIN 115 kV</w:t>
      </w:r>
    </w:p>
    <w:p>
      <w:pPr>
        <w:spacing w:after="80" w:before="0"/>
        <w:jc w:val="left"/>
      </w:pPr>
      <w:r>
        <w:rPr>
          <w:sz w:val="18"/>
        </w:rPr>
        <w:t>Congestión CENACE interpretada desde la perspectiva de inversión BESS (lectura nodal)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c>
          <w:tcPr>
            <w:tcW w:type="dxa" w:w="1502"/>
            <w:vAlign w:val="center"/>
            <w:shd w:fill="0B1F33"/>
          </w:tcPr>
          <w:p>
            <w:r>
              <w:t>Horas congestionadas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Prom. |CC|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P95 CC+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P5 CC−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Persistencia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Corr. MDA/MTR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Dependencia (CDR)</w:t>
            </w:r>
          </w:p>
        </w:tc>
      </w:tr>
      <w:tr>
        <w:tc>
          <w:tcPr>
            <w:tcW w:type="dxa" w:w="1502"/>
            <w:vAlign w:val="center"/>
            <w:shd w:fill="F3F6F9"/>
          </w:tcPr>
          <w:p>
            <w:r>
              <w:t>747 h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11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59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-0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75%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0.31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14% (efecto menor sobre el spread)</w:t>
            </w:r>
          </w:p>
        </w:tc>
      </w:tr>
    </w:tbl>
    <w:p>
      <w:pPr>
        <w:spacing w:after="40" w:before="0"/>
        <w:jc w:val="center"/>
      </w:pPr>
      <w:r>
        <w:rPr>
          <w:sz w:val="14"/>
        </w:rPr>
        <w:t>Métricas y gráficas validadas a partir de series CENACE para la semana de corte indicada.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6172200" cy="1498963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_A_A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4989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A_B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878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A_C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87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A_D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1452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A_E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14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EAF2F7"/>
          </w:tcPr>
          <w:p>
            <w:r>
              <w:t>Interpretación BESS de congestión (nodal)</w:t>
            </w:r>
          </w:p>
          <w:p>
            <w:pPr>
              <w:spacing w:before="0" w:after="0"/>
            </w:pPr>
            <w:r>
              <w:t>Lectura nodal ESTRUCTURAL en ventana 82d: persistencia semanal 75%, correlación MDA/MTR del componente 0.31. Horas que elevan el precio: 22h, 16h, 15h; horas que lo deprimen: ninguna destacada. Congestión explica 14% del spread bruto 4h en el bloque óptimo 4h (efecto menor sobre el spread). No se atribuyen líneas de transmisión sin fuente de restricciones vinculantes.</w:t>
            </w:r>
          </w:p>
        </w:tc>
      </w:tr>
    </w:tbl>
    <w:p>
      <w:r>
        <w:br/>
      </w:r>
    </w:p>
    <w:p>
      <w:r>
        <w:br w:type="page"/>
      </w:r>
    </w:p>
    <w:p>
      <w:pPr>
        <w:spacing w:after="0" w:before="0"/>
        <w:jc w:val="left"/>
      </w:pPr>
      <w:r>
        <w:rPr>
          <w:b/>
          <w:sz w:val="36"/>
        </w:rPr>
        <w:t>8. 03CLN-230 — Diagnóstico de congestión nodal</w:t>
        <w:br/>
      </w:r>
      <w:r>
        <w:rPr>
          <w:b/>
          <w:sz w:val="36"/>
        </w:rPr>
        <w:t>Colotlán · Noroeste · SIN 230 kV</w:t>
      </w:r>
    </w:p>
    <w:p>
      <w:pPr>
        <w:spacing w:after="80" w:before="0"/>
        <w:jc w:val="left"/>
      </w:pPr>
      <w:r>
        <w:rPr>
          <w:sz w:val="18"/>
        </w:rPr>
        <w:t>Congestión CENACE interpretada desde la perspectiva de inversión BESS (lectura nodal)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c>
          <w:tcPr>
            <w:tcW w:type="dxa" w:w="1502"/>
            <w:vAlign w:val="center"/>
            <w:shd w:fill="0B1F33"/>
          </w:tcPr>
          <w:p>
            <w:r>
              <w:t>Horas congestionadas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Prom. |CC|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P95 CC+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P5 CC−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Persistencia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Corr. MDA/MTR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Dependencia (CDR)</w:t>
            </w:r>
          </w:p>
        </w:tc>
      </w:tr>
      <w:tr>
        <w:tc>
          <w:tcPr>
            <w:tcW w:type="dxa" w:w="1502"/>
            <w:vAlign w:val="center"/>
            <w:shd w:fill="F3F6F9"/>
          </w:tcPr>
          <w:p>
            <w:r>
              <w:t>416 h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5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18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-0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100%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0.22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8% (efecto menor sobre el spread)</w:t>
            </w:r>
          </w:p>
        </w:tc>
      </w:tr>
    </w:tbl>
    <w:p>
      <w:pPr>
        <w:spacing w:after="40" w:before="0"/>
        <w:jc w:val="center"/>
      </w:pPr>
      <w:r>
        <w:rPr>
          <w:sz w:val="14"/>
        </w:rPr>
        <w:t>Métricas y gráficas validadas a partir de series CENACE para la semana de corte indicada.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6172200" cy="1498963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_B_A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4989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B_B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B_C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B_D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1452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B_E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14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EAF2F7"/>
          </w:tcPr>
          <w:p>
            <w:r>
              <w:t>Interpretación BESS de congestión (nodal)</w:t>
            </w:r>
          </w:p>
          <w:p>
            <w:pPr>
              <w:spacing w:before="0" w:after="0"/>
            </w:pPr>
            <w:r>
              <w:t>Lectura nodal EMERGENTE en ventana 34d: persistencia semanal 100%, correlación MDA/MTR del componente 0.22. Horas que elevan el precio: 19h, 22h, 20h; horas que lo deprimen: ninguna destacada. Congestión explica 8% del spread bruto 4h en el bloque óptimo 4h (efecto menor sobre el spread). No se atribuyen líneas de transmisión sin fuente de restricciones vinculantes.</w:t>
            </w:r>
          </w:p>
        </w:tc>
      </w:tr>
    </w:tbl>
    <w:p>
      <w:r>
        <w:br/>
      </w:r>
    </w:p>
    <w:p>
      <w:r>
        <w:br w:type="page"/>
      </w:r>
    </w:p>
    <w:p>
      <w:pPr>
        <w:spacing w:after="0" w:before="0"/>
        <w:jc w:val="left"/>
      </w:pPr>
      <w:r>
        <w:rPr>
          <w:b/>
          <w:sz w:val="36"/>
        </w:rPr>
        <w:t>9. 04AHO-115 — Diagnóstico de congestión nodal</w:t>
        <w:br/>
      </w:r>
      <w:r>
        <w:rPr>
          <w:b/>
          <w:sz w:val="36"/>
        </w:rPr>
        <w:t>Nodo 04AHO-115 · SIN (aleatorio) · SIN 115 kV</w:t>
      </w:r>
    </w:p>
    <w:p>
      <w:pPr>
        <w:spacing w:after="80" w:before="0"/>
        <w:jc w:val="left"/>
      </w:pPr>
      <w:r>
        <w:rPr>
          <w:sz w:val="18"/>
        </w:rPr>
        <w:t>Congestión CENACE interpretada desde la perspectiva de inversión BESS (lectura nodal)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c>
          <w:tcPr>
            <w:tcW w:type="dxa" w:w="1502"/>
            <w:vAlign w:val="center"/>
            <w:shd w:fill="0B1F33"/>
          </w:tcPr>
          <w:p>
            <w:r>
              <w:t>Horas congestionadas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Prom. |CC|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P95 CC+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P5 CC−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Persistencia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Corr. MDA/MTR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Dependencia (CDR)</w:t>
            </w:r>
          </w:p>
        </w:tc>
      </w:tr>
      <w:tr>
        <w:tc>
          <w:tcPr>
            <w:tcW w:type="dxa" w:w="1502"/>
            <w:vAlign w:val="center"/>
            <w:shd w:fill="F3F6F9"/>
          </w:tcPr>
          <w:p>
            <w:r>
              <w:t>727 h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22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2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-88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100%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0.36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-18% (efecto menor sobre el spread)</w:t>
            </w:r>
          </w:p>
        </w:tc>
      </w:tr>
    </w:tbl>
    <w:p>
      <w:pPr>
        <w:spacing w:after="40" w:before="0"/>
        <w:jc w:val="center"/>
      </w:pPr>
      <w:r>
        <w:rPr>
          <w:sz w:val="14"/>
        </w:rPr>
        <w:t>Métricas y gráficas validadas a partir de series CENACE para la semana de corte indicada.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6172200" cy="1498963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_C_A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4989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C_B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8782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C_C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87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C_D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15201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C_E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152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EAF2F7"/>
          </w:tcPr>
          <w:p>
            <w:r>
              <w:t>Interpretación BESS de congestión (nodal)</w:t>
            </w:r>
          </w:p>
          <w:p>
            <w:pPr>
              <w:spacing w:before="0" w:after="0"/>
            </w:pPr>
            <w:r>
              <w:t>Lectura nodal EMERGENTE en ventana 34d: persistencia semanal 100%, correlación MDA/MTR del componente 0.36. Horas que elevan el precio: ninguna destacada; horas que lo deprimen: 17h, 16h, 22h. Congestión explica -18% del spread bruto 4h en el bloque óptimo 4h (efecto menor sobre el spread). No se atribuyen líneas de transmisión sin fuente de restricciones vinculantes.</w:t>
            </w:r>
          </w:p>
        </w:tc>
      </w:tr>
    </w:tbl>
    <w:p>
      <w:r>
        <w:br/>
      </w:r>
    </w:p>
    <w:p>
      <w:r>
        <w:br w:type="page"/>
      </w:r>
    </w:p>
    <w:p>
      <w:pPr>
        <w:spacing w:after="0" w:before="0"/>
        <w:jc w:val="left"/>
      </w:pPr>
      <w:r>
        <w:rPr>
          <w:b/>
          <w:sz w:val="36"/>
        </w:rPr>
        <w:t>10. 06GDL-115 — Diagnóstico de congestión nodal</w:t>
        <w:br/>
      </w:r>
      <w:r>
        <w:rPr>
          <w:b/>
          <w:sz w:val="36"/>
        </w:rPr>
        <w:t>Nodo 06GDL-115 · SIN (aleatorio) · SIN 115 kV</w:t>
      </w:r>
    </w:p>
    <w:p>
      <w:pPr>
        <w:spacing w:after="80" w:before="0"/>
        <w:jc w:val="left"/>
      </w:pPr>
      <w:r>
        <w:rPr>
          <w:sz w:val="18"/>
        </w:rPr>
        <w:t>Congestión CENACE interpretada desde la perspectiva de inversión BESS (lectura nodal)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02"/>
        <w:gridCol w:w="1502"/>
        <w:gridCol w:w="1502"/>
        <w:gridCol w:w="1502"/>
        <w:gridCol w:w="1502"/>
        <w:gridCol w:w="1502"/>
        <w:gridCol w:w="1502"/>
      </w:tblGrid>
      <w:tr>
        <w:tc>
          <w:tcPr>
            <w:tcW w:type="dxa" w:w="1502"/>
            <w:vAlign w:val="center"/>
            <w:shd w:fill="0B1F33"/>
          </w:tcPr>
          <w:p>
            <w:r>
              <w:t>Horas congestionadas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Prom. |CC|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P95 CC+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P5 CC−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Persistencia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Corr. MDA/MTR</w:t>
            </w:r>
          </w:p>
        </w:tc>
        <w:tc>
          <w:tcPr>
            <w:tcW w:type="dxa" w:w="1502"/>
            <w:vAlign w:val="center"/>
            <w:shd w:fill="0B1F33"/>
          </w:tcPr>
          <w:p>
            <w:r>
              <w:t>Dependencia (CDR)</w:t>
            </w:r>
          </w:p>
        </w:tc>
      </w:tr>
      <w:tr>
        <w:tc>
          <w:tcPr>
            <w:tcW w:type="dxa" w:w="1502"/>
            <w:vAlign w:val="center"/>
            <w:shd w:fill="F3F6F9"/>
          </w:tcPr>
          <w:p>
            <w:r>
              <w:t>624 h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3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9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-7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75%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0.01</w:t>
            </w:r>
          </w:p>
        </w:tc>
        <w:tc>
          <w:tcPr>
            <w:tcW w:type="dxa" w:w="1502"/>
            <w:vAlign w:val="center"/>
            <w:shd w:fill="F3F6F9"/>
          </w:tcPr>
          <w:p>
            <w:r>
              <w:t>1% (efecto menor sobre el spread)</w:t>
            </w:r>
          </w:p>
        </w:tc>
      </w:tr>
    </w:tbl>
    <w:p>
      <w:pPr>
        <w:spacing w:after="40" w:before="0"/>
        <w:jc w:val="center"/>
      </w:pPr>
      <w:r>
        <w:rPr>
          <w:sz w:val="14"/>
        </w:rPr>
        <w:t>Métricas y gráficas validadas a partir de series CENACE para la semana de corte indicada.</w:t>
      </w:r>
    </w:p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6172200" cy="1498963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de_D_A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4989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D_B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D_C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4633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D_D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463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99232" cy="1415201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de_D_E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32" cy="14152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EAF2F7"/>
          </w:tcPr>
          <w:p>
            <w:r>
              <w:t>Interpretación BESS de congestión (nodal)</w:t>
            </w:r>
          </w:p>
          <w:p>
            <w:pPr>
              <w:spacing w:before="0" w:after="0"/>
            </w:pPr>
            <w:r>
              <w:t>Lectura nodal ESTRUCTURAL en ventana 82d: persistencia semanal 75%, correlación MDA/MTR del componente 0.01. Horas que elevan el precio: 23h, 18h, 1h; horas que lo deprimen: 15h, 16h. Congestión explica 1% del spread bruto 4h en el bloque óptimo 4h (efecto menor sobre el spread). No se atribuyen líneas de transmisión sin fuente de restricciones vinculantes.</w:t>
            </w:r>
          </w:p>
        </w:tc>
      </w:tr>
    </w:tbl>
    <w:p>
      <w:pPr>
        <w:pStyle w:val="Title"/>
        <w:pageBreakBefore/>
      </w:pPr>
      <w:r>
        <w:t>11. Vista comparativa BESS</w:t>
      </w:r>
    </w:p>
    <w:p>
      <w:pPr>
        <w:pStyle w:val="Subtitle"/>
      </w:pPr>
      <w:r>
        <w:t>¿Qué nodo merece un modelado más profundo?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2374292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or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3742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254259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e_spread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542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Matriz de decisión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fill="E9EEF2"/>
          </w:tcPr>
          <w:p>
            <w:r>
              <w:rPr>
                <w:b/>
              </w:rPr>
              <w:t>Nodo</w:t>
            </w:r>
          </w:p>
        </w:tc>
        <w:tc>
          <w:tcPr>
            <w:tcW w:type="dxa" w:w="1752"/>
            <w:shd w:fill="E9EEF2"/>
          </w:tcPr>
          <w:p>
            <w:r>
              <w:rPr>
                <w:b/>
              </w:rPr>
              <w:t>Calidad de spread</w:t>
            </w:r>
          </w:p>
        </w:tc>
        <w:tc>
          <w:tcPr>
            <w:tcW w:type="dxa" w:w="1752"/>
            <w:shd w:fill="E9EEF2"/>
          </w:tcPr>
          <w:p>
            <w:r>
              <w:rPr>
                <w:b/>
              </w:rPr>
              <w:t>Persistencia congestión</w:t>
            </w:r>
          </w:p>
        </w:tc>
        <w:tc>
          <w:tcPr>
            <w:tcW w:type="dxa" w:w="1752"/>
            <w:shd w:fill="E9EEF2"/>
          </w:tcPr>
          <w:p>
            <w:r>
              <w:rPr>
                <w:b/>
              </w:rPr>
              <w:t>Saturación duración</w:t>
            </w:r>
          </w:p>
        </w:tc>
        <w:tc>
          <w:tcPr>
            <w:tcW w:type="dxa" w:w="1752"/>
            <w:shd w:fill="E9EEF2"/>
          </w:tcPr>
          <w:p>
            <w:r>
              <w:rPr>
                <w:b/>
              </w:rPr>
              <w:t>Calidad de datos</w:t>
            </w:r>
          </w:p>
        </w:tc>
        <w:tc>
          <w:tcPr>
            <w:tcW w:type="dxa" w:w="1752"/>
            <w:shd w:fill="E9EEF2"/>
          </w:tcPr>
          <w:p>
            <w:r>
              <w:rPr>
                <w:b/>
              </w:rPr>
              <w:t>Acción</w:t>
            </w:r>
          </w:p>
        </w:tc>
      </w:tr>
      <w:tr>
        <w:tc>
          <w:tcPr>
            <w:tcW w:type="dxa" w:w="1752"/>
          </w:tcPr>
          <w:p>
            <w:r>
              <w:t>01PLO-115</w:t>
            </w:r>
          </w:p>
          <w:p>
            <w:pPr>
              <w:spacing w:before="0" w:after="0"/>
            </w:pPr>
            <w:r>
              <w:t>Nodo 01PLO-115</w:t>
            </w:r>
          </w:p>
        </w:tc>
        <w:tc>
          <w:tcPr>
            <w:tcW w:type="dxa" w:w="1752"/>
          </w:tcPr>
          <w:p>
            <w:r>
              <w:t>Alta</w:t>
            </w:r>
          </w:p>
        </w:tc>
        <w:tc>
          <w:tcPr>
            <w:tcW w:type="dxa" w:w="1752"/>
          </w:tcPr>
          <w:p>
            <w:r>
              <w:t>Baja-media</w:t>
            </w:r>
          </w:p>
        </w:tc>
        <w:tc>
          <w:tcPr>
            <w:tcW w:type="dxa" w:w="1752"/>
          </w:tcPr>
          <w:p>
            <w:r>
              <w:t>4h</w:t>
            </w:r>
          </w:p>
        </w:tc>
        <w:tc>
          <w:tcPr>
            <w:tcW w:type="dxa" w:w="1752"/>
          </w:tcPr>
          <w:p>
            <w:r>
              <w:t>Alta (85/100)</w:t>
            </w:r>
          </w:p>
        </w:tc>
        <w:tc>
          <w:tcPr>
            <w:tcW w:type="dxa" w:w="1752"/>
          </w:tcPr>
          <w:p>
            <w:r>
              <w:t>AVANZAR A MODELO DETALLADO</w:t>
            </w:r>
          </w:p>
        </w:tc>
      </w:tr>
      <w:tr>
        <w:tc>
          <w:tcPr>
            <w:tcW w:type="dxa" w:w="1752"/>
          </w:tcPr>
          <w:p>
            <w:r>
              <w:t>03CLN-230</w:t>
            </w:r>
          </w:p>
          <w:p>
            <w:pPr>
              <w:spacing w:before="0" w:after="0"/>
            </w:pPr>
            <w:r>
              <w:t>Colotlán</w:t>
            </w:r>
          </w:p>
        </w:tc>
        <w:tc>
          <w:tcPr>
            <w:tcW w:type="dxa" w:w="1752"/>
          </w:tcPr>
          <w:p>
            <w:r>
              <w:t>Alta</w:t>
            </w:r>
          </w:p>
        </w:tc>
        <w:tc>
          <w:tcPr>
            <w:tcW w:type="dxa" w:w="1752"/>
          </w:tcPr>
          <w:p>
            <w:r>
              <w:t>Baja-media</w:t>
            </w:r>
          </w:p>
        </w:tc>
        <w:tc>
          <w:tcPr>
            <w:tcW w:type="dxa" w:w="1752"/>
          </w:tcPr>
          <w:p>
            <w:r>
              <w:t>4h</w:t>
            </w:r>
          </w:p>
        </w:tc>
        <w:tc>
          <w:tcPr>
            <w:tcW w:type="dxa" w:w="1752"/>
          </w:tcPr>
          <w:p>
            <w:r>
              <w:t>Alta (85/100)</w:t>
            </w:r>
          </w:p>
        </w:tc>
        <w:tc>
          <w:tcPr>
            <w:tcW w:type="dxa" w:w="1752"/>
          </w:tcPr>
          <w:p>
            <w:r>
              <w:t>AVANZAR A MODELO DETALLADO</w:t>
            </w:r>
          </w:p>
        </w:tc>
      </w:tr>
      <w:tr>
        <w:tc>
          <w:tcPr>
            <w:tcW w:type="dxa" w:w="1752"/>
          </w:tcPr>
          <w:p>
            <w:r>
              <w:t>04AHO-115</w:t>
            </w:r>
          </w:p>
          <w:p>
            <w:pPr>
              <w:spacing w:before="0" w:after="0"/>
            </w:pPr>
            <w:r>
              <w:t>Nodo 04AHO-115</w:t>
            </w:r>
          </w:p>
        </w:tc>
        <w:tc>
          <w:tcPr>
            <w:tcW w:type="dxa" w:w="1752"/>
          </w:tcPr>
          <w:p>
            <w:r>
              <w:t>Alta</w:t>
            </w:r>
          </w:p>
        </w:tc>
        <w:tc>
          <w:tcPr>
            <w:tcW w:type="dxa" w:w="1752"/>
          </w:tcPr>
          <w:p>
            <w:r>
              <w:t>Baja-media</w:t>
            </w:r>
          </w:p>
        </w:tc>
        <w:tc>
          <w:tcPr>
            <w:tcW w:type="dxa" w:w="1752"/>
          </w:tcPr>
          <w:p>
            <w:r>
              <w:t>4h</w:t>
            </w:r>
          </w:p>
        </w:tc>
        <w:tc>
          <w:tcPr>
            <w:tcW w:type="dxa" w:w="1752"/>
          </w:tcPr>
          <w:p>
            <w:r>
              <w:t>Alta (85/100)</w:t>
            </w:r>
          </w:p>
        </w:tc>
        <w:tc>
          <w:tcPr>
            <w:tcW w:type="dxa" w:w="1752"/>
          </w:tcPr>
          <w:p>
            <w:r>
              <w:t>AVANZAR A MODELO DETALLADO</w:t>
            </w:r>
          </w:p>
        </w:tc>
      </w:tr>
      <w:tr>
        <w:tc>
          <w:tcPr>
            <w:tcW w:type="dxa" w:w="1752"/>
          </w:tcPr>
          <w:p>
            <w:r>
              <w:t>06GDL-115</w:t>
            </w:r>
          </w:p>
          <w:p>
            <w:pPr>
              <w:spacing w:before="0" w:after="0"/>
            </w:pPr>
            <w:r>
              <w:t>Nodo 06GDL-115</w:t>
            </w:r>
          </w:p>
        </w:tc>
        <w:tc>
          <w:tcPr>
            <w:tcW w:type="dxa" w:w="1752"/>
          </w:tcPr>
          <w:p>
            <w:r>
              <w:t>Alta</w:t>
            </w:r>
          </w:p>
        </w:tc>
        <w:tc>
          <w:tcPr>
            <w:tcW w:type="dxa" w:w="1752"/>
          </w:tcPr>
          <w:p>
            <w:r>
              <w:t>Baja-media</w:t>
            </w:r>
          </w:p>
        </w:tc>
        <w:tc>
          <w:tcPr>
            <w:tcW w:type="dxa" w:w="1752"/>
          </w:tcPr>
          <w:p>
            <w:r>
              <w:t>4h</w:t>
            </w:r>
          </w:p>
        </w:tc>
        <w:tc>
          <w:tcPr>
            <w:tcW w:type="dxa" w:w="1752"/>
          </w:tcPr>
          <w:p>
            <w:r>
              <w:t>Alta (85/100)</w:t>
            </w:r>
          </w:p>
        </w:tc>
        <w:tc>
          <w:tcPr>
            <w:tcW w:type="dxa" w:w="1752"/>
          </w:tcPr>
          <w:p>
            <w:r>
              <w:t>AVANZAR A MODELO DETALLADO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Regla de lectura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“Dimensionamiento detallado” no significa “invertir”. Significa que el nodo superó el cribado de mercado y debe pasar a una evaluación técnica, financiera y de interconexión.</w:t>
            </w:r>
          </w:p>
        </w:tc>
      </w:tr>
    </w:tbl>
    <w:p/>
    <w:p>
      <w:pPr>
        <w:pStyle w:val="Heading2"/>
      </w:pPr>
      <w:r>
        <w:t>Narrativa de ranking de la semana</w:t>
      </w:r>
    </w:p>
    <w:p>
      <w:r>
        <w:t>El nodo líder 01PLO-115 encabeza el ranking con 78/100 puntos y spread 4h de 31.4 USD/MWh.</w:t>
        <w:br/>
      </w:r>
      <w:r>
        <w:br/>
      </w:r>
      <w:r>
        <w:t>03CLN-230 destaca por momentum relativo dentro de la selección.</w:t>
        <w:br/>
      </w:r>
      <w:r>
        <w:br/>
      </w:r>
      <w:r>
        <w:t>Mayor intensidad de congestión material comparable (21d): 04AHO-115 (94% de horas con |CC| material, 473 h en ventana).</w:t>
        <w:br/>
      </w:r>
      <w:r>
        <w:br/>
      </w:r>
      <w:r>
        <w:t>Los valores anualizados 6h y 8h son techo horario óptimo (upper bound), fuera de la ventana fija 4h del cribado alcanzable.</w:t>
        <w:br/>
      </w:r>
      <w:r>
        <w:br/>
      </w:r>
      <w:r>
        <w:t>**01PLO-115** — Puntos 78/100 (-7 pts, Debilitándose). Anual 4h cribado: 845.0 MXN/kW-year (45.9 USD/kW-year @ 18.41 MXN/USD); techo 6h/8h: 1942.4 MXN/kW-year (105.5 USD/kW-year @ 18.41 MXN/USD) / 2227.6 MXN/kW-year (121.0 USD/kW-year @ 18.41 MXN/USD). CDR 14% (efecto menor sobre el spread).</w:t>
        <w:br/>
      </w:r>
      <w:r>
        <w:br/>
      </w:r>
      <w:r>
        <w:t>**03CLN-230** — Puntos 78/100 (-7 pts, Debilitándose). Anual 4h cribado: 641.2 MXN/kW-year (34.8 USD/kW-year @ 18.41 MXN/USD); techo 6h/8h: 1286.2 MXN/kW-year (69.9 USD/kW-year @ 18.41 MXN/USD) / 1451.7 MXN/kW-year (78.9 USD/kW-year @ 18.41 MXN/USD). CDR 8% (efecto menor sobre el spread).</w:t>
        <w:br/>
      </w:r>
      <w:r>
        <w:br/>
      </w:r>
      <w:r>
        <w:t>**04AHO-115** — Puntos 78/100 (-9 pts, Debilitándose). Anual 4h cribado: 653.2 MXN/kW-year (35.5 USD/kW-year @ 18.41 MXN/USD); techo 6h/8h: 915.8 MXN/kW-year (49.7 USD/kW-year @ 18.41 MXN/USD) / 936.4 MXN/kW-year (50.9 USD/kW-year @ 18.41 MXN/USD). CDR -18% (efecto menor sobre el spread).</w:t>
        <w:br/>
      </w:r>
      <w:r>
        <w:br/>
      </w:r>
      <w:r>
        <w:t>**06GDL-115** — Puntos 75/100 (-8 pts, Debilitándose). Anual 4h cribado: 645.7 MXN/kW-year (35.1 USD/kW-year @ 18.41 MXN/USD); techo 6h/8h: 962.3 MXN/kW-year (52.3 USD/kW-year @ 18.41 MXN/USD) / 1008.1 MXN/kW-year (54.8 USD/kW-year @ 18.41 MXN/USD). CDR 1% (efecto menor sobre el spread).</w:t>
        <w:br/>
      </w:r>
      <w:r>
        <w:br/>
      </w:r>
      <w:r>
        <w:t>Cribados fuera de los cuatro:</w:t>
        <w:br/>
      </w:r>
      <w:r>
        <w:t>- 03FRN-115: 73 pts, spread 4h 463.6 MXN/MWh (25.2 USD/MWh @ 18.41 MXN/USD), congestión recurrente</w:t>
        <w:br/>
      </w:r>
      <w:r>
        <w:t>- 03SLW-115: 72 pts, spread 4h 431.0 MXN/MWh (23.4 USD/MWh @ 18.41 MXN/USD), congestión recurrente</w:t>
        <w:br/>
      </w:r>
      <w:r>
        <w:t>- 03GTO-115: 71 pts, spread 4h 451.5 MXN/MWh (24.5 USD/MWh @ 18.41 MXN/USD), congestión recurrente</w:t>
        <w:br/>
      </w:r>
      <w:r>
        <w:t>- 03LDE-230: 69 pts, spread 4h 424.1 MXN/MWh (23.0 USD/MWh @ 18.41 MXN/USD), congestión recurrente</w:t>
        <w:br/>
      </w:r>
      <w:r>
        <w:br/>
      </w:r>
      <w:r>
        <w:t>La matriz comparativa prioriza persistencia de spread y calidad de congestión por encima de picos aislados.</w:t>
      </w:r>
    </w:p>
    <w:p>
      <w:pPr>
        <w:pStyle w:val="Heading2"/>
      </w:pPr>
      <w:r>
        <w:t>Cambio frente a la semana anterior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t>Nodo</w:t>
            </w:r>
          </w:p>
        </w:tc>
        <w:tc>
          <w:tcPr>
            <w:tcW w:type="dxa" w:w="2102"/>
          </w:tcPr>
          <w:p>
            <w:r>
              <w:t>Cambio puntuación</w:t>
            </w:r>
          </w:p>
        </w:tc>
        <w:tc>
          <w:tcPr>
            <w:tcW w:type="dxa" w:w="2102"/>
          </w:tcPr>
          <w:p>
            <w:r>
              <w:t>Cambio spread 4h</w:t>
            </w:r>
          </w:p>
        </w:tc>
        <w:tc>
          <w:tcPr>
            <w:tcW w:type="dxa" w:w="2102"/>
          </w:tcPr>
          <w:p>
            <w:r>
              <w:t>Cambio congestión</w:t>
            </w:r>
          </w:p>
        </w:tc>
        <w:tc>
          <w:tcPr>
            <w:tcW w:type="dxa" w:w="2102"/>
          </w:tcPr>
          <w:p>
            <w:r>
              <w:t>Estado</w:t>
            </w:r>
          </w:p>
        </w:tc>
      </w:tr>
      <w:tr>
        <w:tc>
          <w:tcPr>
            <w:tcW w:type="dxa" w:w="2102"/>
          </w:tcPr>
          <w:p>
            <w:r>
              <w:t>01PLO-115</w:t>
            </w:r>
          </w:p>
          <w:p>
            <w:pPr>
              <w:spacing w:before="0" w:after="0"/>
            </w:pPr>
            <w:r>
              <w:t>Nodo 01PLO-115</w:t>
            </w:r>
          </w:p>
        </w:tc>
        <w:tc>
          <w:tcPr>
            <w:tcW w:type="dxa" w:w="2102"/>
          </w:tcPr>
          <w:p>
            <w:r>
              <w:t>-7 pts</w:t>
            </w:r>
          </w:p>
        </w:tc>
        <w:tc>
          <w:tcPr>
            <w:tcW w:type="dxa" w:w="2102"/>
          </w:tcPr>
          <w:p>
            <w:r>
              <w:t>-50.5%</w:t>
            </w:r>
          </w:p>
        </w:tc>
        <w:tc>
          <w:tcPr>
            <w:tcW w:type="dxa" w:w="2102"/>
          </w:tcPr>
          <w:p>
            <w:r>
              <w:t>+0 h</w:t>
            </w:r>
          </w:p>
        </w:tc>
        <w:tc>
          <w:tcPr>
            <w:tcW w:type="dxa" w:w="2102"/>
          </w:tcPr>
          <w:p>
            <w:r>
              <w:t>Debilitándose</w:t>
            </w:r>
          </w:p>
        </w:tc>
      </w:tr>
      <w:tr>
        <w:tc>
          <w:tcPr>
            <w:tcW w:type="dxa" w:w="2102"/>
          </w:tcPr>
          <w:p>
            <w:r>
              <w:t>03CLN-230</w:t>
            </w:r>
          </w:p>
          <w:p>
            <w:pPr>
              <w:spacing w:before="0" w:after="0"/>
            </w:pPr>
            <w:r>
              <w:t>Colotlán</w:t>
            </w:r>
          </w:p>
        </w:tc>
        <w:tc>
          <w:tcPr>
            <w:tcW w:type="dxa" w:w="2102"/>
          </w:tcPr>
          <w:p>
            <w:r>
              <w:t>-7 pts</w:t>
            </w:r>
          </w:p>
        </w:tc>
        <w:tc>
          <w:tcPr>
            <w:tcW w:type="dxa" w:w="2102"/>
          </w:tcPr>
          <w:p>
            <w:r>
              <w:t>-44.2%</w:t>
            </w:r>
          </w:p>
        </w:tc>
        <w:tc>
          <w:tcPr>
            <w:tcW w:type="dxa" w:w="2102"/>
          </w:tcPr>
          <w:p>
            <w:r>
              <w:t>n/d</w:t>
            </w:r>
          </w:p>
        </w:tc>
        <w:tc>
          <w:tcPr>
            <w:tcW w:type="dxa" w:w="2102"/>
          </w:tcPr>
          <w:p>
            <w:r>
              <w:t>Debilitándose</w:t>
            </w:r>
          </w:p>
        </w:tc>
      </w:tr>
      <w:tr>
        <w:tc>
          <w:tcPr>
            <w:tcW w:type="dxa" w:w="2102"/>
          </w:tcPr>
          <w:p>
            <w:r>
              <w:t>04AHO-115</w:t>
            </w:r>
          </w:p>
          <w:p>
            <w:pPr>
              <w:spacing w:before="0" w:after="0"/>
            </w:pPr>
            <w:r>
              <w:t>Nodo 04AHO-115</w:t>
            </w:r>
          </w:p>
        </w:tc>
        <w:tc>
          <w:tcPr>
            <w:tcW w:type="dxa" w:w="2102"/>
          </w:tcPr>
          <w:p>
            <w:r>
              <w:t>-9 pts</w:t>
            </w:r>
          </w:p>
        </w:tc>
        <w:tc>
          <w:tcPr>
            <w:tcW w:type="dxa" w:w="2102"/>
          </w:tcPr>
          <w:p>
            <w:r>
              <w:t>-32.7%</w:t>
            </w:r>
          </w:p>
        </w:tc>
        <w:tc>
          <w:tcPr>
            <w:tcW w:type="dxa" w:w="2102"/>
          </w:tcPr>
          <w:p>
            <w:r>
              <w:t>n/d</w:t>
            </w:r>
          </w:p>
        </w:tc>
        <w:tc>
          <w:tcPr>
            <w:tcW w:type="dxa" w:w="2102"/>
          </w:tcPr>
          <w:p>
            <w:r>
              <w:t>Debilitándose</w:t>
            </w:r>
          </w:p>
        </w:tc>
      </w:tr>
      <w:tr>
        <w:tc>
          <w:tcPr>
            <w:tcW w:type="dxa" w:w="2102"/>
          </w:tcPr>
          <w:p>
            <w:r>
              <w:t>06GDL-115</w:t>
            </w:r>
          </w:p>
          <w:p>
            <w:pPr>
              <w:spacing w:before="0" w:after="0"/>
            </w:pPr>
            <w:r>
              <w:t>Nodo 06GDL-115</w:t>
            </w:r>
          </w:p>
        </w:tc>
        <w:tc>
          <w:tcPr>
            <w:tcW w:type="dxa" w:w="2102"/>
          </w:tcPr>
          <w:p>
            <w:r>
              <w:t>-8 pts</w:t>
            </w:r>
          </w:p>
        </w:tc>
        <w:tc>
          <w:tcPr>
            <w:tcW w:type="dxa" w:w="2102"/>
          </w:tcPr>
          <w:p>
            <w:r>
              <w:t>-39.5%</w:t>
            </w:r>
          </w:p>
        </w:tc>
        <w:tc>
          <w:tcPr>
            <w:tcW w:type="dxa" w:w="2102"/>
          </w:tcPr>
          <w:p>
            <w:r>
              <w:t>+0 h</w:t>
            </w:r>
          </w:p>
        </w:tc>
        <w:tc>
          <w:tcPr>
            <w:tcW w:type="dxa" w:w="2102"/>
          </w:tcPr>
          <w:p>
            <w:r>
              <w:t>Debilitándose</w:t>
            </w:r>
          </w:p>
        </w:tc>
      </w:tr>
    </w:tbl>
    <w:p/>
    <w:p>
      <w:r>
        <w:br w:type="page"/>
      </w:r>
    </w:p>
    <w:p>
      <w:pPr>
        <w:pStyle w:val="Title"/>
      </w:pPr>
      <w:r>
        <w:t>12. Conclusión para inversionistas</w:t>
      </w:r>
    </w:p>
    <w:p>
      <w:pPr>
        <w:pStyle w:val="Subtitle"/>
      </w:pPr>
      <w:r>
        <w:t>Cinco conclusiones de la semana</w:t>
      </w:r>
    </w:p>
    <w:p>
      <w:pPr>
        <w:pStyle w:val="ListNumber"/>
      </w:pPr>
      <w:r>
        <w:rPr>
          <w:b/>
        </w:rPr>
        <w:t>El nodo 01PLO-115 lidera la puntuación BESS (78/100).</w:t>
      </w:r>
    </w:p>
    <w:p>
      <w:pPr>
        <w:pStyle w:val="ListNumber"/>
      </w:pPr>
      <w:r>
        <w:t>Mayor intensidad de congestión material comparable (21d): 04AHO-115 (473 h, 94% de horas).</w:t>
      </w:r>
    </w:p>
    <w:p>
      <w:pPr>
        <w:pStyle w:val="ListNumber"/>
      </w:pPr>
      <w:r>
        <w:t>Spread MDA 4h líder: 01PLO-115 (31.4 USD/MWh).</w:t>
      </w:r>
    </w:p>
    <w:p>
      <w:pPr>
        <w:pStyle w:val="ListNumber"/>
      </w:pPr>
      <w:r>
        <w:t>Los gráficos por nodo muestran forma horaria, curva de duración y congestión sin afirmar causalidad física.</w:t>
      </w:r>
    </w:p>
    <w:p>
      <w:pPr>
        <w:pStyle w:val="ListNumber"/>
      </w:pPr>
      <w:r>
        <w:t>Este informe es cribado de mercado; no es recomendación de inversión ni TIR verificable.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2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sz w:val="22"/>
              </w:rPr>
              <w:t>Línea final</w:t>
            </w:r>
          </w:p>
          <w:p>
            <w:pPr>
              <w:spacing w:before="0" w:after="0"/>
            </w:pPr>
            <w:r>
              <w:rPr>
                <w:b/>
                <w:sz w:val="22"/>
              </w:rPr>
              <w:t>Líder: 01PLO-115, puntuación BESS 78/100. Spread 4h alcanzable: 578.8 MXN/MWh (31.4 USD/MWh @ 18.41 MXN/USD). Valor bruto anualizado 4h: 845.0 MXN/kW-year (45.9 USD/kW-year @ 18.41 MXN/USD). CDR 14% del valor 4h optimizado — congestión efecto menor sobre el spread. Decisión: AVANZAR A MODELO DETALLADO.</w:t>
            </w:r>
          </w:p>
        </w:tc>
      </w:tr>
    </w:tbl>
    <w:p/>
    <w:p>
      <w:pPr>
        <w:pStyle w:val="Heading2"/>
      </w:pPr>
      <w:r>
        <w:t>Lista de seguimiento para la próxima semana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t>Nodo</w:t>
            </w:r>
          </w:p>
        </w:tc>
        <w:tc>
          <w:tcPr>
            <w:tcW w:type="dxa" w:w="2628"/>
          </w:tcPr>
          <w:p>
            <w:r>
              <w:t>Señal a vigilar</w:t>
            </w:r>
          </w:p>
        </w:tc>
        <w:tc>
          <w:tcPr>
            <w:tcW w:type="dxa" w:w="2628"/>
          </w:tcPr>
          <w:p>
            <w:r>
              <w:t>Disparador de promoción</w:t>
            </w:r>
          </w:p>
        </w:tc>
        <w:tc>
          <w:tcPr>
            <w:tcW w:type="dxa" w:w="2628"/>
          </w:tcPr>
          <w:p>
            <w:r>
              <w:t>Último análisis</w:t>
            </w:r>
          </w:p>
        </w:tc>
      </w:tr>
      <w:tr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</w:tr>
      <w:tr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</w:tr>
      <w:tr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</w:tr>
      <w:tr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  <w:tc>
          <w:tcPr>
            <w:tcW w:type="dxa" w:w="2628"/>
          </w:tcPr>
          <w:p>
            <w:r>
              <w:t>—</w:t>
            </w:r>
          </w:p>
        </w:tc>
      </w:tr>
    </w:tbl>
    <w:p>
      <w:pPr>
        <w:pStyle w:val="Heading2"/>
      </w:pPr>
      <w:r>
        <w:t>Nota metodológica</w:t>
      </w:r>
    </w:p>
    <w:p>
      <w:r>
        <w:rPr>
          <w:sz w:val="17"/>
        </w:rPr>
        <w:t>Fuentes: CENACE MDA/MTR PML y componentes. Spreads: definición alcanzable (regla fija MDA) y techo (optimización diaria). Congestión: componente PML en Fase 1. Causas físicas no confirmadas sin evidencia de topología o falla.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Corte de datos: 2026-10-26 (America/Mexico_City). Unidades de energía: USD/MWh (tipo de cambio 18.41 MXN/USD).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E6E6E"/>
        <w:sz w:val="16"/>
      </w:rPr>
      <w:t>OPTIMUS CONSULTING  |  MEXICO BESS MARKET MONITOR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0505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Mexico BESS Market Monitor — LinkedIn Template with Congestion Diagnostics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